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9E" w:rsidRDefault="0007589E">
      <w:pPr>
        <w:pStyle w:val="BodyText"/>
        <w:spacing w:before="3"/>
        <w:jc w:val="left"/>
        <w:rPr>
          <w:sz w:val="23"/>
        </w:rPr>
      </w:pPr>
    </w:p>
    <w:p w:rsidR="0007589E" w:rsidRDefault="00877FAC">
      <w:pPr>
        <w:pStyle w:val="Title"/>
      </w:pPr>
      <w:r>
        <w:t>Policy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Disclosures</w:t>
      </w:r>
    </w:p>
    <w:p w:rsidR="0007589E" w:rsidRDefault="0007589E">
      <w:pPr>
        <w:pStyle w:val="BodyText"/>
        <w:jc w:val="left"/>
        <w:rPr>
          <w:b/>
          <w:sz w:val="34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  <w:spacing w:before="206"/>
      </w:pPr>
      <w:r>
        <w:t>Background</w:t>
      </w:r>
    </w:p>
    <w:p w:rsidR="0007589E" w:rsidRDefault="00877FAC">
      <w:pPr>
        <w:pStyle w:val="BodyText"/>
        <w:spacing w:before="139" w:line="360" w:lineRule="auto"/>
        <w:ind w:left="560" w:right="115"/>
      </w:pPr>
      <w:r w:rsidRPr="00877FAC">
        <w:t xml:space="preserve">For Molind Engineering Limited </w:t>
      </w:r>
      <w:r>
        <w:t xml:space="preserve"> </w:t>
      </w:r>
      <w:r>
        <w:t>(‘the Company’) is committed to being open and</w:t>
      </w:r>
      <w:r>
        <w:rPr>
          <w:spacing w:val="1"/>
        </w:rPr>
        <w:t xml:space="preserve"> </w:t>
      </w:r>
      <w:r>
        <w:t>transparent with all stakeholders and in disseminating information in a fair and timely</w:t>
      </w:r>
      <w:r>
        <w:rPr>
          <w:spacing w:val="1"/>
        </w:rPr>
        <w:t xml:space="preserve"> </w:t>
      </w:r>
      <w:r>
        <w:t>manner.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Company’s</w:t>
      </w:r>
      <w:r>
        <w:rPr>
          <w:spacing w:val="-12"/>
        </w:rPr>
        <w:t xml:space="preserve"> </w:t>
      </w:r>
      <w:r>
        <w:t>securities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listed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 w:rsidRPr="00877FAC">
        <w:t>Metropolitan Stock Exchange of India Limited</w:t>
      </w:r>
      <w:r>
        <w:rPr>
          <w:spacing w:val="-14"/>
        </w:rPr>
        <w:t xml:space="preserve"> </w:t>
      </w:r>
      <w:r>
        <w:t>(MSEI</w:t>
      </w:r>
      <w:r>
        <w:t>)</w:t>
      </w:r>
      <w:r>
        <w:rPr>
          <w:spacing w:val="-15"/>
        </w:rPr>
        <w:t xml:space="preserve"> </w:t>
      </w:r>
      <w:r>
        <w:t>and must comply with the continuous disclosure</w:t>
      </w:r>
      <w:r>
        <w:rPr>
          <w:spacing w:val="1"/>
        </w:rPr>
        <w:t xml:space="preserve"> </w:t>
      </w:r>
      <w:r>
        <w:t>obligations imposed by the SEBI (Listing Obligations and Disclosure Requirements),</w:t>
      </w:r>
      <w:r>
        <w:rPr>
          <w:spacing w:val="1"/>
        </w:rPr>
        <w:t xml:space="preserve"> </w:t>
      </w:r>
      <w:r>
        <w:t>Regulations 2015 (“SEB</w:t>
      </w:r>
      <w:r>
        <w:t>I Listing Regulations”) that came into effect from December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Listing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formulate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</w:t>
      </w:r>
      <w:r>
        <w:rPr>
          <w:spacing w:val="-5"/>
        </w:rPr>
        <w:t xml:space="preserve"> </w:t>
      </w:r>
      <w:r>
        <w:t>materiality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warrant</w:t>
      </w:r>
      <w:r>
        <w:rPr>
          <w:spacing w:val="-4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investors.</w:t>
      </w:r>
      <w:r>
        <w:rPr>
          <w:spacing w:val="-2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is in this context that the Policy on Determination of Materiality for Disclosures</w:t>
      </w:r>
      <w:r>
        <w:rPr>
          <w:spacing w:val="1"/>
        </w:rPr>
        <w:t xml:space="preserve"> </w:t>
      </w:r>
      <w:r>
        <w:t>(“Policy”)</w:t>
      </w:r>
      <w:r>
        <w:rPr>
          <w:spacing w:val="-2"/>
        </w:rPr>
        <w:t xml:space="preserve"> </w:t>
      </w:r>
      <w:r>
        <w:t>is being</w:t>
      </w:r>
      <w:r>
        <w:rPr>
          <w:spacing w:val="-1"/>
        </w:rPr>
        <w:t xml:space="preserve"> </w:t>
      </w:r>
      <w:r>
        <w:t>framed and implemented.</w:t>
      </w:r>
    </w:p>
    <w:p w:rsidR="0007589E" w:rsidRDefault="0007589E">
      <w:pPr>
        <w:pStyle w:val="BodyText"/>
        <w:spacing w:before="11"/>
        <w:jc w:val="left"/>
        <w:rPr>
          <w:sz w:val="35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</w:pPr>
      <w:r>
        <w:t>Definitions</w:t>
      </w:r>
    </w:p>
    <w:p w:rsidR="0007589E" w:rsidRDefault="00877FAC">
      <w:pPr>
        <w:pStyle w:val="BodyText"/>
        <w:spacing w:before="139"/>
        <w:ind w:left="560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 context</w:t>
      </w:r>
      <w:r>
        <w:rPr>
          <w:spacing w:val="-1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requires:</w:t>
      </w:r>
    </w:p>
    <w:p w:rsidR="0007589E" w:rsidRDefault="00877FAC" w:rsidP="00877FAC">
      <w:pPr>
        <w:pStyle w:val="ListParagraph"/>
        <w:numPr>
          <w:ilvl w:val="1"/>
          <w:numId w:val="1"/>
        </w:numPr>
        <w:tabs>
          <w:tab w:val="left" w:pos="920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“Board of Directors” shall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mean the Board of Directors of </w:t>
      </w:r>
      <w:r w:rsidRPr="00877FAC">
        <w:rPr>
          <w:sz w:val="24"/>
        </w:rPr>
        <w:t>Molind Engineering Limited</w:t>
      </w:r>
      <w:r>
        <w:rPr>
          <w:sz w:val="24"/>
        </w:rPr>
        <w:t>.</w:t>
      </w:r>
    </w:p>
    <w:p w:rsidR="0007589E" w:rsidRDefault="0007589E">
      <w:pPr>
        <w:pStyle w:val="BodyText"/>
        <w:spacing w:before="1"/>
        <w:jc w:val="left"/>
        <w:rPr>
          <w:sz w:val="36"/>
        </w:rPr>
      </w:pP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line="360" w:lineRule="auto"/>
        <w:ind w:right="117"/>
        <w:rPr>
          <w:sz w:val="24"/>
        </w:rPr>
      </w:pPr>
      <w:r>
        <w:rPr>
          <w:sz w:val="24"/>
        </w:rPr>
        <w:t>“Chief</w:t>
      </w:r>
      <w:r>
        <w:rPr>
          <w:spacing w:val="57"/>
          <w:sz w:val="24"/>
        </w:rPr>
        <w:t xml:space="preserve"> </w:t>
      </w:r>
      <w:r>
        <w:rPr>
          <w:sz w:val="24"/>
        </w:rPr>
        <w:t>Financial</w:t>
      </w:r>
      <w:r>
        <w:rPr>
          <w:spacing w:val="58"/>
          <w:sz w:val="24"/>
        </w:rPr>
        <w:t xml:space="preserve"> </w:t>
      </w:r>
      <w:r>
        <w:rPr>
          <w:sz w:val="24"/>
        </w:rPr>
        <w:t>Officer”</w:t>
      </w:r>
      <w:r>
        <w:rPr>
          <w:spacing w:val="57"/>
          <w:sz w:val="24"/>
        </w:rPr>
        <w:t xml:space="preserve"> </w:t>
      </w:r>
      <w:r>
        <w:rPr>
          <w:sz w:val="24"/>
        </w:rPr>
        <w:t>shall</w:t>
      </w:r>
      <w:r>
        <w:rPr>
          <w:spacing w:val="58"/>
          <w:sz w:val="24"/>
        </w:rPr>
        <w:t xml:space="preserve"> </w:t>
      </w:r>
      <w:r>
        <w:rPr>
          <w:sz w:val="24"/>
        </w:rPr>
        <w:t>mean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person</w:t>
      </w:r>
      <w:r>
        <w:rPr>
          <w:spacing w:val="58"/>
          <w:sz w:val="24"/>
        </w:rPr>
        <w:t xml:space="preserve"> </w:t>
      </w:r>
      <w:r>
        <w:rPr>
          <w:sz w:val="24"/>
        </w:rPr>
        <w:t>heading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discharging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finance function of the listed entity as disclosed by it to the recognised stock</w:t>
      </w:r>
      <w:r>
        <w:rPr>
          <w:spacing w:val="1"/>
          <w:sz w:val="24"/>
        </w:rPr>
        <w:t xml:space="preserve"> </w:t>
      </w:r>
      <w:r>
        <w:rPr>
          <w:sz w:val="24"/>
        </w:rPr>
        <w:t>exchange(s)</w:t>
      </w:r>
      <w:r>
        <w:rPr>
          <w:spacing w:val="-2"/>
          <w:sz w:val="24"/>
        </w:rPr>
        <w:t xml:space="preserve"> </w:t>
      </w:r>
      <w:r>
        <w:rPr>
          <w:sz w:val="24"/>
        </w:rPr>
        <w:t>in its filing 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SEBI</w:t>
      </w:r>
      <w:r>
        <w:rPr>
          <w:spacing w:val="-5"/>
          <w:sz w:val="24"/>
        </w:rPr>
        <w:t xml:space="preserve"> </w:t>
      </w:r>
      <w:r>
        <w:rPr>
          <w:sz w:val="24"/>
        </w:rPr>
        <w:t>Listing Regulations;</w:t>
      </w:r>
    </w:p>
    <w:p w:rsidR="0007589E" w:rsidRDefault="0007589E">
      <w:pPr>
        <w:pStyle w:val="BodyText"/>
        <w:jc w:val="left"/>
        <w:rPr>
          <w:sz w:val="36"/>
        </w:rPr>
      </w:pPr>
    </w:p>
    <w:p w:rsidR="0007589E" w:rsidRDefault="00877FAC" w:rsidP="00877FAC">
      <w:pPr>
        <w:pStyle w:val="ListParagraph"/>
        <w:numPr>
          <w:ilvl w:val="1"/>
          <w:numId w:val="1"/>
        </w:numPr>
        <w:tabs>
          <w:tab w:val="left" w:pos="920"/>
        </w:tabs>
        <w:spacing w:before="1" w:line="360" w:lineRule="auto"/>
        <w:ind w:right="119"/>
        <w:rPr>
          <w:sz w:val="24"/>
        </w:rPr>
      </w:pPr>
      <w:r>
        <w:rPr>
          <w:sz w:val="24"/>
        </w:rPr>
        <w:t>“Key</w:t>
      </w:r>
      <w:r>
        <w:rPr>
          <w:spacing w:val="1"/>
          <w:sz w:val="24"/>
        </w:rPr>
        <w:t xml:space="preserve"> </w:t>
      </w:r>
      <w:r>
        <w:rPr>
          <w:sz w:val="24"/>
        </w:rPr>
        <w:t>Managerial</w:t>
      </w:r>
      <w:r>
        <w:rPr>
          <w:spacing w:val="1"/>
          <w:sz w:val="24"/>
        </w:rPr>
        <w:t xml:space="preserve"> </w:t>
      </w:r>
      <w:r>
        <w:rPr>
          <w:sz w:val="24"/>
        </w:rPr>
        <w:t>Personnel”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“KMP”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Officer,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Secretary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Pr="00877FAC">
        <w:rPr>
          <w:sz w:val="24"/>
        </w:rPr>
        <w:t>Molind Engineering Limited</w:t>
      </w:r>
      <w:r>
        <w:rPr>
          <w:sz w:val="24"/>
        </w:rPr>
        <w:t xml:space="preserve">. </w:t>
      </w:r>
      <w:bookmarkStart w:id="0" w:name="_GoBack"/>
      <w:bookmarkEnd w:id="0"/>
    </w:p>
    <w:p w:rsidR="0007589E" w:rsidRDefault="0007589E">
      <w:pPr>
        <w:pStyle w:val="BodyText"/>
        <w:jc w:val="left"/>
        <w:rPr>
          <w:sz w:val="36"/>
        </w:rPr>
      </w:pP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line="360" w:lineRule="auto"/>
        <w:ind w:right="118"/>
        <w:rPr>
          <w:sz w:val="24"/>
        </w:rPr>
      </w:pPr>
      <w:r>
        <w:rPr>
          <w:sz w:val="24"/>
        </w:rPr>
        <w:t>"Promoter"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"Promoter</w:t>
      </w:r>
      <w:r>
        <w:rPr>
          <w:spacing w:val="-12"/>
          <w:sz w:val="24"/>
        </w:rPr>
        <w:t xml:space="preserve"> </w:t>
      </w:r>
      <w:r>
        <w:rPr>
          <w:sz w:val="24"/>
        </w:rPr>
        <w:t>Group"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meaning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assigned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57"/>
          <w:sz w:val="24"/>
        </w:rPr>
        <w:t xml:space="preserve"> </w:t>
      </w:r>
      <w:r>
        <w:rPr>
          <w:sz w:val="24"/>
        </w:rPr>
        <w:t>respectively in clauses (oo) and (pp) of Regulation 2(1) of the Securities and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(Issue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07589E" w:rsidRDefault="0007589E">
      <w:pPr>
        <w:spacing w:line="360" w:lineRule="auto"/>
        <w:jc w:val="both"/>
        <w:rPr>
          <w:sz w:val="24"/>
        </w:rPr>
        <w:sectPr w:rsidR="0007589E">
          <w:headerReference w:type="default" r:id="rId7"/>
          <w:footerReference w:type="default" r:id="rId8"/>
          <w:type w:val="continuous"/>
          <w:pgSz w:w="11910" w:h="16840"/>
          <w:pgMar w:top="1780" w:right="1320" w:bottom="1260" w:left="1600" w:header="240" w:footer="1070" w:gutter="0"/>
          <w:pgNumType w:start="1"/>
          <w:cols w:space="720"/>
        </w:sectPr>
      </w:pPr>
    </w:p>
    <w:p w:rsidR="0007589E" w:rsidRDefault="0007589E">
      <w:pPr>
        <w:pStyle w:val="BodyText"/>
        <w:jc w:val="left"/>
        <w:rPr>
          <w:sz w:val="20"/>
        </w:rPr>
      </w:pPr>
    </w:p>
    <w:p w:rsidR="0007589E" w:rsidRDefault="0007589E">
      <w:pPr>
        <w:pStyle w:val="BodyText"/>
        <w:spacing w:before="2"/>
        <w:jc w:val="left"/>
        <w:rPr>
          <w:sz w:val="28"/>
        </w:rPr>
      </w:pP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90" w:line="360" w:lineRule="auto"/>
        <w:ind w:right="120"/>
        <w:rPr>
          <w:sz w:val="24"/>
        </w:rPr>
      </w:pPr>
      <w:r>
        <w:rPr>
          <w:sz w:val="24"/>
        </w:rPr>
        <w:t>“Subsidiary” means a subsidiary as defined under Section 2(87) of the Companies</w:t>
      </w:r>
      <w:r>
        <w:rPr>
          <w:spacing w:val="1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2013;</w:t>
      </w:r>
    </w:p>
    <w:p w:rsidR="0007589E" w:rsidRDefault="0007589E">
      <w:pPr>
        <w:pStyle w:val="BodyText"/>
        <w:spacing w:before="10"/>
        <w:jc w:val="left"/>
        <w:rPr>
          <w:sz w:val="35"/>
        </w:rPr>
      </w:pPr>
    </w:p>
    <w:p w:rsidR="0007589E" w:rsidRDefault="00877FAC">
      <w:pPr>
        <w:pStyle w:val="BodyText"/>
        <w:spacing w:before="1" w:line="360" w:lineRule="auto"/>
        <w:ind w:left="560" w:right="117"/>
      </w:pPr>
      <w:r>
        <w:t>All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expressions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Policy,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57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SEBI</w:t>
      </w:r>
      <w:r>
        <w:rPr>
          <w:spacing w:val="-5"/>
        </w:rPr>
        <w:t xml:space="preserve"> </w:t>
      </w:r>
      <w:r>
        <w:t>Listing</w:t>
      </w:r>
      <w:r>
        <w:rPr>
          <w:spacing w:val="-4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therein,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per the Companies Act, 2013 or the Securities Contracts (Regulation) Act, 1956 or the</w:t>
      </w:r>
      <w:r>
        <w:rPr>
          <w:spacing w:val="-57"/>
        </w:rPr>
        <w:t xml:space="preserve"> </w:t>
      </w:r>
      <w:r>
        <w:t>Depositories Act, 1996 and/or the rules and regulations made thereunder, or any other</w:t>
      </w:r>
      <w:r>
        <w:rPr>
          <w:spacing w:val="1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laws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statutory</w:t>
      </w:r>
      <w:r>
        <w:rPr>
          <w:spacing w:val="-9"/>
        </w:rPr>
        <w:t xml:space="preserve"> </w:t>
      </w:r>
      <w:r>
        <w:t>modification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re-enactment</w:t>
      </w:r>
      <w:r>
        <w:rPr>
          <w:spacing w:val="-9"/>
        </w:rPr>
        <w:t xml:space="preserve"> </w:t>
      </w:r>
      <w:r>
        <w:t>thereto,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may be.</w:t>
      </w:r>
    </w:p>
    <w:p w:rsidR="0007589E" w:rsidRDefault="0007589E">
      <w:pPr>
        <w:pStyle w:val="BodyText"/>
        <w:spacing w:before="1"/>
        <w:jc w:val="left"/>
        <w:rPr>
          <w:sz w:val="36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59"/>
          <w:tab w:val="left" w:pos="560"/>
        </w:tabs>
      </w:pPr>
      <w:r>
        <w:t>Objective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</w:p>
    <w:p w:rsidR="0007589E" w:rsidRDefault="00877FAC">
      <w:pPr>
        <w:pStyle w:val="BodyText"/>
        <w:spacing w:before="137"/>
        <w:ind w:left="560"/>
      </w:pP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</w:t>
      </w:r>
      <w:r>
        <w:t>s:</w:t>
      </w:r>
    </w:p>
    <w:p w:rsidR="0007589E" w:rsidRDefault="0007589E">
      <w:pPr>
        <w:pStyle w:val="BodyText"/>
        <w:jc w:val="left"/>
        <w:rPr>
          <w:sz w:val="26"/>
        </w:rPr>
      </w:pPr>
    </w:p>
    <w:p w:rsidR="0007589E" w:rsidRDefault="0007589E">
      <w:pPr>
        <w:pStyle w:val="BodyText"/>
        <w:jc w:val="left"/>
        <w:rPr>
          <w:sz w:val="22"/>
        </w:rPr>
      </w:pP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line="360" w:lineRule="auto"/>
        <w:ind w:right="116"/>
        <w:rPr>
          <w:sz w:val="24"/>
        </w:rPr>
      </w:pPr>
      <w:r>
        <w:rPr>
          <w:sz w:val="24"/>
        </w:rPr>
        <w:t>To ensure that the Company complies with the disclosure obligations to which it is</w:t>
      </w:r>
      <w:r>
        <w:rPr>
          <w:spacing w:val="-58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publicly-traded</w:t>
      </w:r>
      <w:r>
        <w:rPr>
          <w:spacing w:val="-13"/>
          <w:sz w:val="24"/>
        </w:rPr>
        <w:t xml:space="preserve"> </w:t>
      </w:r>
      <w:r>
        <w:rPr>
          <w:sz w:val="24"/>
        </w:rPr>
        <w:t>company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laid</w:t>
      </w:r>
      <w:r>
        <w:rPr>
          <w:spacing w:val="-13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SEBI</w:t>
      </w:r>
      <w:r>
        <w:rPr>
          <w:spacing w:val="-14"/>
          <w:sz w:val="24"/>
        </w:rPr>
        <w:t xml:space="preserve"> </w:t>
      </w:r>
      <w:r>
        <w:rPr>
          <w:sz w:val="24"/>
        </w:rPr>
        <w:t>Listing</w:t>
      </w:r>
      <w:r>
        <w:rPr>
          <w:spacing w:val="-13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8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 Laws</w:t>
      </w:r>
      <w:r>
        <w:rPr>
          <w:spacing w:val="1"/>
          <w:sz w:val="24"/>
        </w:rPr>
        <w:t xml:space="preserve"> </w:t>
      </w:r>
      <w:r>
        <w:rPr>
          <w:sz w:val="24"/>
        </w:rPr>
        <w:t>and 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legislations,</w:t>
      </w:r>
      <w:r>
        <w:rPr>
          <w:spacing w:val="-1"/>
          <w:sz w:val="24"/>
        </w:rPr>
        <w:t xml:space="preserve"> </w:t>
      </w:r>
      <w:r>
        <w:rPr>
          <w:sz w:val="24"/>
        </w:rPr>
        <w:t>as applicable.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25" w:line="360" w:lineRule="auto"/>
        <w:ind w:right="120"/>
        <w:rPr>
          <w:sz w:val="24"/>
        </w:rPr>
      </w:pPr>
      <w:r>
        <w:rPr>
          <w:sz w:val="24"/>
        </w:rPr>
        <w:t>To ensure that the information disclosed by the Company is adequate, accurate,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and transparent.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27" w:line="360" w:lineRule="auto"/>
        <w:ind w:right="118"/>
        <w:rPr>
          <w:sz w:val="24"/>
        </w:rPr>
      </w:pPr>
      <w:r>
        <w:rPr>
          <w:sz w:val="24"/>
        </w:rPr>
        <w:t>To ensure that corporate documents and public statements are accurate and do not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any misrepresentation.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26" w:line="360" w:lineRule="auto"/>
        <w:ind w:right="116"/>
        <w:rPr>
          <w:sz w:val="24"/>
        </w:rPr>
      </w:pPr>
      <w:r>
        <w:rPr>
          <w:sz w:val="24"/>
        </w:rPr>
        <w:t>To protect the confidentiality of materia</w:t>
      </w:r>
      <w:r>
        <w:rPr>
          <w:sz w:val="24"/>
        </w:rPr>
        <w:t>l/price sensitive information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Company’s disclosure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27" w:line="360" w:lineRule="auto"/>
        <w:ind w:right="118"/>
        <w:rPr>
          <w:sz w:val="24"/>
        </w:rPr>
      </w:pPr>
      <w:r>
        <w:rPr>
          <w:sz w:val="24"/>
        </w:rPr>
        <w:t>To provide a framework that supports and fosters confidence in the quality and</w:t>
      </w:r>
      <w:r>
        <w:rPr>
          <w:spacing w:val="1"/>
          <w:sz w:val="24"/>
        </w:rPr>
        <w:t xml:space="preserve"> </w:t>
      </w:r>
      <w:r>
        <w:rPr>
          <w:sz w:val="24"/>
        </w:rPr>
        <w:t>integrity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released by 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26" w:line="360" w:lineRule="auto"/>
        <w:ind w:right="120"/>
        <w:rPr>
          <w:sz w:val="24"/>
        </w:rPr>
      </w:pPr>
      <w:r>
        <w:rPr>
          <w:sz w:val="24"/>
        </w:rPr>
        <w:t>To ensure uniformity in the Company’s approach to disclosures, raise awareness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risk of</w:t>
      </w:r>
      <w:r>
        <w:rPr>
          <w:spacing w:val="-1"/>
          <w:sz w:val="24"/>
        </w:rPr>
        <w:t xml:space="preserve"> </w:t>
      </w:r>
      <w:r>
        <w:rPr>
          <w:sz w:val="24"/>
        </w:rPr>
        <w:t>selective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disclosures.</w:t>
      </w:r>
    </w:p>
    <w:p w:rsidR="0007589E" w:rsidRDefault="0007589E">
      <w:pPr>
        <w:spacing w:line="360" w:lineRule="auto"/>
        <w:jc w:val="both"/>
        <w:rPr>
          <w:sz w:val="24"/>
        </w:rPr>
        <w:sectPr w:rsidR="0007589E">
          <w:pgSz w:w="11910" w:h="16840"/>
          <w:pgMar w:top="1780" w:right="1320" w:bottom="1260" w:left="1600" w:header="240" w:footer="1070" w:gutter="0"/>
          <w:cols w:space="720"/>
        </w:sectPr>
      </w:pPr>
    </w:p>
    <w:p w:rsidR="0007589E" w:rsidRDefault="0007589E">
      <w:pPr>
        <w:pStyle w:val="BodyText"/>
        <w:spacing w:before="11"/>
        <w:jc w:val="left"/>
        <w:rPr>
          <w:sz w:val="22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  <w:spacing w:before="90"/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</w:p>
    <w:p w:rsidR="0007589E" w:rsidRDefault="00877FAC">
      <w:pPr>
        <w:pStyle w:val="BodyText"/>
        <w:spacing w:before="137" w:line="360" w:lineRule="auto"/>
        <w:ind w:left="560" w:right="114"/>
      </w:pP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this Policy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“information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Company'</w:t>
      </w:r>
      <w:r>
        <w:t>s business, operations, or performance which has a significant effect on</w:t>
      </w:r>
      <w:r>
        <w:rPr>
          <w:spacing w:val="1"/>
        </w:rPr>
        <w:t xml:space="preserve"> </w:t>
      </w:r>
      <w:r>
        <w:t>securities</w:t>
      </w:r>
      <w:r>
        <w:rPr>
          <w:spacing w:val="-7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decisions”</w:t>
      </w:r>
      <w:r>
        <w:rPr>
          <w:spacing w:val="-7"/>
        </w:rPr>
        <w:t xml:space="preserve"> </w:t>
      </w:r>
      <w:r>
        <w:t>(hereinafter</w:t>
      </w:r>
      <w:r>
        <w:rPr>
          <w:spacing w:val="-6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“material</w:t>
      </w:r>
      <w:r>
        <w:rPr>
          <w:spacing w:val="-5"/>
        </w:rPr>
        <w:t xml:space="preserve"> </w:t>
      </w:r>
      <w:r>
        <w:t>information”)</w:t>
      </w:r>
      <w:r>
        <w:rPr>
          <w:spacing w:val="-7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applying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guidel</w:t>
      </w:r>
      <w:r>
        <w:t>ines for assessing materiality. Events or information specified in Para B of Part</w:t>
      </w:r>
      <w:r>
        <w:rPr>
          <w:spacing w:val="1"/>
        </w:rPr>
        <w:t xml:space="preserve"> </w:t>
      </w:r>
      <w:r>
        <w:t>A of Schedule III of Regulation 30 of the SEBI Listing Regulations will be disclosed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application of</w:t>
      </w:r>
      <w:r>
        <w:rPr>
          <w:spacing w:val="1"/>
        </w:rPr>
        <w:t xml:space="preserve"> </w:t>
      </w:r>
      <w:r>
        <w:t>materiality criteria.</w:t>
      </w:r>
    </w:p>
    <w:p w:rsidR="0007589E" w:rsidRDefault="0007589E">
      <w:pPr>
        <w:pStyle w:val="BodyText"/>
        <w:jc w:val="left"/>
        <w:rPr>
          <w:sz w:val="36"/>
        </w:rPr>
      </w:pPr>
    </w:p>
    <w:p w:rsidR="0007589E" w:rsidRDefault="00877FAC">
      <w:pPr>
        <w:pStyle w:val="BodyText"/>
        <w:spacing w:line="360" w:lineRule="auto"/>
        <w:ind w:left="560" w:right="118"/>
      </w:pPr>
      <w:r>
        <w:t>Events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SEBI</w:t>
      </w:r>
      <w:r>
        <w:rPr>
          <w:spacing w:val="-18"/>
        </w:rPr>
        <w:t xml:space="preserve"> </w:t>
      </w:r>
      <w:r>
        <w:rPr>
          <w:spacing w:val="-1"/>
        </w:rPr>
        <w:t>Listing</w:t>
      </w:r>
      <w:r>
        <w:rPr>
          <w:spacing w:val="-15"/>
        </w:rPr>
        <w:t xml:space="preserve"> </w:t>
      </w:r>
      <w:r>
        <w:t>Regulations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disclosed</w:t>
      </w:r>
      <w:r>
        <w:rPr>
          <w:spacing w:val="-15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guidelines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materiality.</w:t>
      </w:r>
    </w:p>
    <w:p w:rsidR="0007589E" w:rsidRDefault="0007589E">
      <w:pPr>
        <w:pStyle w:val="BodyText"/>
        <w:jc w:val="left"/>
        <w:rPr>
          <w:sz w:val="36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</w:pPr>
      <w:r>
        <w:t>Persons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Disclosure</w:t>
      </w:r>
    </w:p>
    <w:p w:rsidR="0007589E" w:rsidRDefault="00877FAC">
      <w:pPr>
        <w:pStyle w:val="BodyText"/>
        <w:spacing w:before="139" w:line="360" w:lineRule="auto"/>
        <w:ind w:left="560" w:right="117"/>
      </w:pPr>
      <w:r>
        <w:t>The Board of Directors of the Company have authorised the KMP as def</w:t>
      </w:r>
      <w:r>
        <w:t>ined under</w:t>
      </w:r>
      <w:r>
        <w:rPr>
          <w:spacing w:val="1"/>
        </w:rPr>
        <w:t xml:space="preserve"> </w:t>
      </w:r>
      <w:r>
        <w:t>clause 2(c) of the Policy to determine the materiality of an event or information and to</w:t>
      </w:r>
      <w:r>
        <w:rPr>
          <w:spacing w:val="-57"/>
        </w:rPr>
        <w:t xml:space="preserve"> </w:t>
      </w:r>
      <w:r>
        <w:t>make appropriate disclosure on a timely basis. The KMPs are also empowered to seek</w:t>
      </w:r>
      <w:r>
        <w:rPr>
          <w:spacing w:val="-5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counsel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guidance,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necessary,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external</w:t>
      </w:r>
      <w:r>
        <w:rPr>
          <w:spacing w:val="-57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as they may</w:t>
      </w:r>
      <w:r>
        <w:rPr>
          <w:spacing w:val="2"/>
        </w:rPr>
        <w:t xml:space="preserve"> </w:t>
      </w:r>
      <w:r>
        <w:t>deem fit.</w:t>
      </w:r>
    </w:p>
    <w:p w:rsidR="0007589E" w:rsidRDefault="0007589E">
      <w:pPr>
        <w:pStyle w:val="BodyText"/>
        <w:jc w:val="left"/>
        <w:rPr>
          <w:sz w:val="36"/>
        </w:rPr>
      </w:pPr>
    </w:p>
    <w:p w:rsidR="0007589E" w:rsidRDefault="00877FAC">
      <w:pPr>
        <w:pStyle w:val="BodyText"/>
        <w:spacing w:before="1" w:line="360" w:lineRule="auto"/>
        <w:ind w:left="560" w:right="117"/>
      </w:pPr>
      <w:r>
        <w:t>The KMPs shall have the following powers and responsibilities for determining the</w:t>
      </w:r>
      <w:r>
        <w:rPr>
          <w:spacing w:val="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events or</w:t>
      </w:r>
      <w:r>
        <w:rPr>
          <w:spacing w:val="-1"/>
        </w:rPr>
        <w:t xml:space="preserve"> </w:t>
      </w:r>
      <w:r>
        <w:t>information: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line="360" w:lineRule="auto"/>
        <w:ind w:right="119"/>
        <w:rPr>
          <w:sz w:val="24"/>
        </w:rPr>
      </w:pPr>
      <w:r>
        <w:rPr>
          <w:sz w:val="24"/>
        </w:rPr>
        <w:t>To review and assess an event or information that may qualify as ‘material’ 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require</w:t>
      </w:r>
      <w:r>
        <w:rPr>
          <w:spacing w:val="-12"/>
          <w:sz w:val="24"/>
        </w:rPr>
        <w:t xml:space="preserve"> </w:t>
      </w:r>
      <w:r>
        <w:rPr>
          <w:sz w:val="24"/>
        </w:rPr>
        <w:t>disclosure,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basis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facts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1"/>
          <w:sz w:val="24"/>
        </w:rPr>
        <w:t xml:space="preserve"> </w:t>
      </w:r>
      <w:r>
        <w:rPr>
          <w:sz w:val="24"/>
        </w:rPr>
        <w:t>prevailing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57"/>
          <w:sz w:val="24"/>
        </w:rPr>
        <w:t xml:space="preserve"> </w:t>
      </w:r>
      <w:r>
        <w:rPr>
          <w:sz w:val="24"/>
        </w:rPr>
        <w:t>point in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25" w:line="360" w:lineRule="auto"/>
        <w:ind w:right="118"/>
        <w:rPr>
          <w:sz w:val="24"/>
        </w:rPr>
      </w:pPr>
      <w:r>
        <w:rPr>
          <w:sz w:val="24"/>
        </w:rPr>
        <w:t>To determine the appropriate time at which the disclosures are to be made to the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-7"/>
          <w:sz w:val="24"/>
        </w:rPr>
        <w:t xml:space="preserve"> </w:t>
      </w:r>
      <w:r>
        <w:rPr>
          <w:sz w:val="24"/>
        </w:rPr>
        <w:t>exchanges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actual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occurrence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information.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25" w:line="360" w:lineRule="auto"/>
        <w:ind w:right="118"/>
        <w:rPr>
          <w:sz w:val="24"/>
        </w:rPr>
      </w:pPr>
      <w:r>
        <w:rPr>
          <w:sz w:val="24"/>
        </w:rPr>
        <w:t>To disclose developments that are material in nature on a regular basis, till such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 or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is</w:t>
      </w:r>
      <w:r>
        <w:rPr>
          <w:spacing w:val="-1"/>
          <w:sz w:val="24"/>
        </w:rPr>
        <w:t xml:space="preserve"> </w:t>
      </w:r>
      <w:r>
        <w:rPr>
          <w:sz w:val="24"/>
        </w:rPr>
        <w:t>resolved/closed,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explanations.</w:t>
      </w:r>
    </w:p>
    <w:p w:rsidR="0007589E" w:rsidRDefault="0007589E">
      <w:pPr>
        <w:spacing w:line="360" w:lineRule="auto"/>
        <w:jc w:val="both"/>
        <w:rPr>
          <w:sz w:val="24"/>
        </w:rPr>
        <w:sectPr w:rsidR="0007589E">
          <w:pgSz w:w="11910" w:h="16840"/>
          <w:pgMar w:top="1780" w:right="1320" w:bottom="1260" w:left="1600" w:header="240" w:footer="1070" w:gutter="0"/>
          <w:cols w:space="720"/>
        </w:sectPr>
      </w:pPr>
    </w:p>
    <w:p w:rsidR="0007589E" w:rsidRDefault="0007589E">
      <w:pPr>
        <w:pStyle w:val="BodyText"/>
        <w:spacing w:before="11"/>
        <w:jc w:val="left"/>
        <w:rPr>
          <w:sz w:val="22"/>
        </w:rPr>
      </w:pP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90" w:line="360" w:lineRule="auto"/>
        <w:ind w:right="118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events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require</w:t>
      </w:r>
      <w:r>
        <w:rPr>
          <w:spacing w:val="-14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1"/>
          <w:sz w:val="24"/>
        </w:rPr>
        <w:t xml:space="preserve"> </w:t>
      </w:r>
      <w:r>
        <w:rPr>
          <w:sz w:val="24"/>
        </w:rPr>
        <w:t>exchanges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explicitly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SEBI</w:t>
      </w:r>
      <w:r>
        <w:rPr>
          <w:spacing w:val="1"/>
          <w:sz w:val="24"/>
        </w:rPr>
        <w:t xml:space="preserve"> </w:t>
      </w:r>
      <w:r>
        <w:rPr>
          <w:sz w:val="24"/>
        </w:rPr>
        <w:t>Listing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materiality,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such matters.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26" w:line="360" w:lineRule="auto"/>
        <w:ind w:right="119"/>
        <w:rPr>
          <w:sz w:val="24"/>
        </w:rPr>
      </w:pPr>
      <w:r>
        <w:rPr>
          <w:sz w:val="24"/>
        </w:rPr>
        <w:t>To disclose all events or information with re</w:t>
      </w:r>
      <w:r>
        <w:rPr>
          <w:sz w:val="24"/>
        </w:rPr>
        <w:t>spect to the subsidiaries which are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:rsidR="0007589E" w:rsidRDefault="0007589E">
      <w:pPr>
        <w:pStyle w:val="BodyText"/>
        <w:jc w:val="left"/>
        <w:rPr>
          <w:sz w:val="26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59"/>
          <w:tab w:val="left" w:pos="560"/>
        </w:tabs>
        <w:spacing w:before="167"/>
      </w:pP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Materiality</w:t>
      </w:r>
    </w:p>
    <w:p w:rsidR="0007589E" w:rsidRDefault="00877FAC">
      <w:pPr>
        <w:pStyle w:val="BodyText"/>
        <w:spacing w:before="137" w:line="360" w:lineRule="auto"/>
        <w:ind w:left="560"/>
        <w:jc w:val="left"/>
      </w:pPr>
      <w:r>
        <w:t>Materiality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depending</w:t>
      </w:r>
      <w:r>
        <w:rPr>
          <w:spacing w:val="11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facts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pertaining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event or</w:t>
      </w:r>
      <w:r>
        <w:rPr>
          <w:spacing w:val="-1"/>
        </w:rPr>
        <w:t xml:space="preserve"> </w:t>
      </w:r>
      <w:r>
        <w:t>information.</w:t>
      </w:r>
    </w:p>
    <w:p w:rsidR="0007589E" w:rsidRDefault="0007589E">
      <w:pPr>
        <w:pStyle w:val="BodyText"/>
        <w:spacing w:before="1"/>
        <w:jc w:val="left"/>
        <w:rPr>
          <w:sz w:val="36"/>
        </w:rPr>
      </w:pPr>
    </w:p>
    <w:p w:rsidR="0007589E" w:rsidRDefault="00877FAC">
      <w:pPr>
        <w:pStyle w:val="BodyText"/>
        <w:spacing w:line="360" w:lineRule="auto"/>
        <w:ind w:left="560"/>
        <w:jc w:val="left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materiality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information: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73"/>
        </w:tabs>
        <w:ind w:left="972"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likely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07589E" w:rsidRDefault="00877FAC">
      <w:pPr>
        <w:pStyle w:val="ListParagraph"/>
        <w:numPr>
          <w:ilvl w:val="2"/>
          <w:numId w:val="1"/>
        </w:numPr>
        <w:tabs>
          <w:tab w:val="left" w:pos="1259"/>
        </w:tabs>
        <w:spacing w:before="41" w:line="360" w:lineRule="auto"/>
        <w:ind w:right="895"/>
        <w:jc w:val="left"/>
        <w:rPr>
          <w:sz w:val="24"/>
        </w:rPr>
      </w:pPr>
      <w:r>
        <w:rPr>
          <w:sz w:val="24"/>
        </w:rPr>
        <w:t>result in a discontinuity or alteration of an event or information already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publicly; or</w:t>
      </w:r>
    </w:p>
    <w:p w:rsidR="0007589E" w:rsidRDefault="00877FAC">
      <w:pPr>
        <w:pStyle w:val="ListParagraph"/>
        <w:numPr>
          <w:ilvl w:val="2"/>
          <w:numId w:val="1"/>
        </w:numPr>
        <w:tabs>
          <w:tab w:val="left" w:pos="1259"/>
        </w:tabs>
        <w:spacing w:line="360" w:lineRule="auto"/>
        <w:ind w:right="181" w:hanging="336"/>
        <w:jc w:val="left"/>
        <w:rPr>
          <w:sz w:val="24"/>
        </w:rPr>
      </w:pPr>
      <w:r>
        <w:rPr>
          <w:sz w:val="24"/>
        </w:rPr>
        <w:t>result in significant market reaction if the said omission came to light at a later</w:t>
      </w:r>
      <w:r>
        <w:rPr>
          <w:spacing w:val="-57"/>
          <w:sz w:val="24"/>
        </w:rPr>
        <w:t xml:space="preserve"> </w:t>
      </w:r>
      <w:r>
        <w:rPr>
          <w:sz w:val="24"/>
        </w:rPr>
        <w:t>date;</w:t>
      </w:r>
    </w:p>
    <w:p w:rsidR="0007589E" w:rsidRDefault="0007589E">
      <w:pPr>
        <w:pStyle w:val="BodyText"/>
        <w:spacing w:before="1"/>
        <w:jc w:val="left"/>
        <w:rPr>
          <w:sz w:val="21"/>
        </w:rPr>
      </w:pP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line="360" w:lineRule="auto"/>
        <w:ind w:right="386"/>
        <w:rPr>
          <w:sz w:val="24"/>
        </w:rPr>
      </w:pPr>
      <w:r>
        <w:rPr>
          <w:sz w:val="24"/>
        </w:rPr>
        <w:t>The omission of an event or information, whose value or the expected impact in</w:t>
      </w:r>
      <w:r>
        <w:rPr>
          <w:spacing w:val="-57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exceeds the</w:t>
      </w:r>
      <w:r>
        <w:rPr>
          <w:spacing w:val="-1"/>
          <w:sz w:val="24"/>
        </w:rPr>
        <w:t xml:space="preserve"> </w:t>
      </w:r>
      <w:r>
        <w:rPr>
          <w:sz w:val="24"/>
        </w:rPr>
        <w:t>lower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:rsidR="0007589E" w:rsidRDefault="00877FAC">
      <w:pPr>
        <w:pStyle w:val="ListParagraph"/>
        <w:numPr>
          <w:ilvl w:val="2"/>
          <w:numId w:val="1"/>
        </w:numPr>
        <w:tabs>
          <w:tab w:val="left" w:pos="1259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percent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turnover,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last</w:t>
      </w:r>
      <w:r>
        <w:rPr>
          <w:spacing w:val="-8"/>
          <w:sz w:val="24"/>
        </w:rPr>
        <w:t xml:space="preserve"> </w:t>
      </w:r>
      <w:r>
        <w:rPr>
          <w:sz w:val="24"/>
        </w:rPr>
        <w:t>audited</w:t>
      </w:r>
      <w:r>
        <w:rPr>
          <w:spacing w:val="-11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Company; or</w:t>
      </w:r>
    </w:p>
    <w:p w:rsidR="0007589E" w:rsidRDefault="00877FAC">
      <w:pPr>
        <w:pStyle w:val="ListParagraph"/>
        <w:numPr>
          <w:ilvl w:val="2"/>
          <w:numId w:val="1"/>
        </w:numPr>
        <w:tabs>
          <w:tab w:val="left" w:pos="1259"/>
        </w:tabs>
        <w:spacing w:line="360" w:lineRule="auto"/>
        <w:ind w:right="115" w:hanging="336"/>
        <w:jc w:val="both"/>
        <w:rPr>
          <w:sz w:val="24"/>
        </w:rPr>
      </w:pP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>percent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worth,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arithmetic</w:t>
      </w:r>
      <w:r>
        <w:rPr>
          <w:spacing w:val="-6"/>
          <w:sz w:val="24"/>
        </w:rPr>
        <w:t xml:space="preserve"> </w:t>
      </w:r>
      <w:r>
        <w:rPr>
          <w:sz w:val="24"/>
        </w:rPr>
        <w:t>value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networth</w:t>
      </w:r>
      <w:r>
        <w:rPr>
          <w:spacing w:val="-57"/>
          <w:sz w:val="24"/>
        </w:rPr>
        <w:t xml:space="preserve"> </w:t>
      </w:r>
      <w:r>
        <w:rPr>
          <w:sz w:val="24"/>
        </w:rPr>
        <w:t>is negative, as per the last audited consolidated financial statements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Company;</w:t>
      </w:r>
    </w:p>
    <w:p w:rsidR="0007589E" w:rsidRDefault="00877FAC">
      <w:pPr>
        <w:pStyle w:val="ListParagraph"/>
        <w:numPr>
          <w:ilvl w:val="2"/>
          <w:numId w:val="1"/>
        </w:numPr>
        <w:tabs>
          <w:tab w:val="left" w:pos="1259"/>
        </w:tabs>
        <w:spacing w:line="360" w:lineRule="auto"/>
        <w:ind w:right="117" w:hanging="404"/>
        <w:jc w:val="both"/>
        <w:rPr>
          <w:sz w:val="24"/>
        </w:rPr>
      </w:pPr>
      <w:r>
        <w:rPr>
          <w:sz w:val="24"/>
        </w:rPr>
        <w:t>five</w:t>
      </w:r>
      <w:r>
        <w:rPr>
          <w:spacing w:val="-7"/>
          <w:sz w:val="24"/>
        </w:rPr>
        <w:t xml:space="preserve"> </w:t>
      </w:r>
      <w:r>
        <w:rPr>
          <w:sz w:val="24"/>
        </w:rPr>
        <w:t>percent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absolute</w:t>
      </w:r>
      <w:r>
        <w:rPr>
          <w:spacing w:val="-7"/>
          <w:sz w:val="24"/>
        </w:rPr>
        <w:t xml:space="preserve"> </w:t>
      </w:r>
      <w:r>
        <w:rPr>
          <w:sz w:val="24"/>
        </w:rPr>
        <w:t>value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profit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loss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tax,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audited</w:t>
      </w:r>
      <w:r>
        <w:rPr>
          <w:spacing w:val="1"/>
          <w:sz w:val="24"/>
        </w:rPr>
        <w:t xml:space="preserve"> </w:t>
      </w:r>
      <w:r>
        <w:rPr>
          <w:sz w:val="24"/>
        </w:rPr>
        <w:t>consolidated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</w:p>
    <w:p w:rsidR="0007589E" w:rsidRDefault="00877FAC">
      <w:pPr>
        <w:pStyle w:val="BodyText"/>
        <w:spacing w:line="360" w:lineRule="auto"/>
        <w:ind w:left="1011" w:right="118"/>
      </w:pPr>
      <w:r>
        <w:t>Accordingly, any transactions exceeding the lower of i, ii or iii above, with an</w:t>
      </w:r>
      <w:r>
        <w:rPr>
          <w:spacing w:val="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impact in</w:t>
      </w:r>
      <w:r>
        <w:rPr>
          <w:spacing w:val="-1"/>
        </w:rPr>
        <w:t xml:space="preserve"> </w:t>
      </w:r>
      <w:r>
        <w:t>value,</w:t>
      </w:r>
      <w:r>
        <w:rPr>
          <w:spacing w:val="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considered for</w:t>
      </w:r>
      <w:r>
        <w:rPr>
          <w:spacing w:val="-1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purposes.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172" w:line="360" w:lineRule="auto"/>
        <w:ind w:right="324"/>
        <w:rPr>
          <w:sz w:val="24"/>
        </w:rPr>
      </w:pPr>
      <w:r>
        <w:rPr>
          <w:sz w:val="24"/>
        </w:rPr>
        <w:t>In the opinion of the Board of Directors of the Company, the event /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ought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disclosed.</w:t>
      </w:r>
    </w:p>
    <w:p w:rsidR="0007589E" w:rsidRDefault="0007589E">
      <w:pPr>
        <w:spacing w:line="360" w:lineRule="auto"/>
        <w:jc w:val="both"/>
        <w:rPr>
          <w:sz w:val="24"/>
        </w:rPr>
        <w:sectPr w:rsidR="0007589E">
          <w:pgSz w:w="11910" w:h="16840"/>
          <w:pgMar w:top="1780" w:right="1320" w:bottom="1260" w:left="1600" w:header="240" w:footer="1070" w:gutter="0"/>
          <w:cols w:space="720"/>
        </w:sectPr>
      </w:pPr>
    </w:p>
    <w:p w:rsidR="0007589E" w:rsidRDefault="0007589E">
      <w:pPr>
        <w:pStyle w:val="BodyText"/>
        <w:spacing w:before="11"/>
        <w:jc w:val="left"/>
        <w:rPr>
          <w:sz w:val="22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  <w:spacing w:before="90"/>
      </w:pP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Rumour</w:t>
      </w:r>
      <w:r>
        <w:rPr>
          <w:spacing w:val="-3"/>
        </w:rPr>
        <w:t xml:space="preserve"> </w:t>
      </w:r>
      <w:r>
        <w:t>Verification</w:t>
      </w:r>
    </w:p>
    <w:p w:rsidR="0007589E" w:rsidRDefault="00877FAC">
      <w:pPr>
        <w:pStyle w:val="BodyText"/>
        <w:spacing w:before="137" w:line="360" w:lineRule="auto"/>
        <w:ind w:left="559" w:right="114"/>
      </w:pPr>
      <w:r>
        <w:t>The Company shall confirm, deny or clarify any reported event or information in the</w:t>
      </w:r>
      <w:r>
        <w:rPr>
          <w:spacing w:val="1"/>
        </w:rPr>
        <w:t xml:space="preserve"> </w:t>
      </w:r>
      <w:r>
        <w:t>mainstream media, which is not general in nature and indicates that rumours of an</w:t>
      </w:r>
      <w:r>
        <w:rPr>
          <w:spacing w:val="1"/>
        </w:rPr>
        <w:t xml:space="preserve"> </w:t>
      </w:r>
      <w:r>
        <w:t>impending specific material event or information that are circulating amongst the</w:t>
      </w:r>
      <w:r>
        <w:rPr>
          <w:spacing w:val="1"/>
        </w:rPr>
        <w:t xml:space="preserve"> </w:t>
      </w:r>
      <w:r>
        <w:t>investin</w:t>
      </w:r>
      <w:r>
        <w:t>g public and also provide the current stage of such event or information. Such</w:t>
      </w:r>
      <w:r>
        <w:rPr>
          <w:spacing w:val="1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timelines</w:t>
      </w:r>
      <w:r>
        <w:rPr>
          <w:spacing w:val="-6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SEBI</w:t>
      </w:r>
      <w:r>
        <w:rPr>
          <w:spacing w:val="-9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Regulations,</w:t>
      </w:r>
      <w:r>
        <w:rPr>
          <w:spacing w:val="-6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 October</w:t>
      </w:r>
      <w:r>
        <w:rPr>
          <w:spacing w:val="-1"/>
        </w:rPr>
        <w:t xml:space="preserve"> </w:t>
      </w:r>
      <w:r>
        <w:t>1, 2023.</w:t>
      </w:r>
    </w:p>
    <w:p w:rsidR="0007589E" w:rsidRDefault="0007589E">
      <w:pPr>
        <w:pStyle w:val="BodyText"/>
        <w:spacing w:before="1"/>
        <w:jc w:val="left"/>
        <w:rPr>
          <w:sz w:val="36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</w:pP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Communication</w:t>
      </w:r>
    </w:p>
    <w:p w:rsidR="0007589E" w:rsidRDefault="00877FAC">
      <w:pPr>
        <w:pStyle w:val="BodyText"/>
        <w:spacing w:before="137" w:line="360" w:lineRule="auto"/>
        <w:ind w:left="559" w:right="117"/>
      </w:pPr>
      <w:r>
        <w:t>In case an event or information is required to be disclosed by the Company in terms of</w:t>
      </w:r>
      <w:r>
        <w:rPr>
          <w:spacing w:val="-57"/>
        </w:rPr>
        <w:t xml:space="preserve"> </w:t>
      </w:r>
      <w:r>
        <w:t>the provisions of Regulation 30, pursuant to the receipt of a communication from any</w:t>
      </w:r>
      <w:r>
        <w:rPr>
          <w:spacing w:val="1"/>
        </w:rPr>
        <w:t xml:space="preserve"> </w:t>
      </w:r>
      <w:r>
        <w:t>regulatory, statutory, enforcement or judicial authority, the Company shall disclose</w:t>
      </w:r>
      <w:r>
        <w:rPr>
          <w:spacing w:val="1"/>
        </w:rPr>
        <w:t xml:space="preserve"> </w:t>
      </w:r>
      <w:r>
        <w:t>such communication, along with the event or information, unless disclosure of such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is prohibited by such authority.</w:t>
      </w:r>
    </w:p>
    <w:p w:rsidR="0007589E" w:rsidRDefault="0007589E">
      <w:pPr>
        <w:pStyle w:val="BodyText"/>
        <w:jc w:val="left"/>
        <w:rPr>
          <w:sz w:val="36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59"/>
          <w:tab w:val="left" w:pos="560"/>
        </w:tabs>
      </w:pP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Timing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Information</w:t>
      </w:r>
    </w:p>
    <w:p w:rsidR="0007589E" w:rsidRDefault="00877FAC">
      <w:pPr>
        <w:pStyle w:val="BodyText"/>
        <w:spacing w:before="139" w:line="360" w:lineRule="auto"/>
        <w:ind w:left="559" w:right="118"/>
      </w:pPr>
      <w:r>
        <w:t>The Company may be confronted with the question as to when an event/informatio</w:t>
      </w:r>
      <w:r>
        <w:t>n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said to have</w:t>
      </w:r>
      <w:r>
        <w:rPr>
          <w:spacing w:val="-1"/>
        </w:rPr>
        <w:t xml:space="preserve"> </w:t>
      </w:r>
      <w:r>
        <w:t>occurred.</w:t>
      </w:r>
    </w:p>
    <w:p w:rsidR="0007589E" w:rsidRDefault="0007589E">
      <w:pPr>
        <w:pStyle w:val="BodyText"/>
        <w:spacing w:before="11"/>
        <w:jc w:val="left"/>
        <w:rPr>
          <w:sz w:val="35"/>
        </w:rPr>
      </w:pPr>
    </w:p>
    <w:p w:rsidR="0007589E" w:rsidRDefault="00877FAC">
      <w:pPr>
        <w:pStyle w:val="BodyText"/>
        <w:spacing w:line="360" w:lineRule="auto"/>
        <w:ind w:left="559" w:right="115"/>
      </w:pPr>
      <w:r>
        <w:t>In certain instances, the answer to above question would depend upon the stage of</w:t>
      </w:r>
      <w:r>
        <w:rPr>
          <w:spacing w:val="1"/>
        </w:rPr>
        <w:t xml:space="preserve"> </w:t>
      </w:r>
      <w:r>
        <w:t>discussion, negotiation or approval and in other instances where there is no such</w:t>
      </w:r>
      <w:r>
        <w:rPr>
          <w:spacing w:val="1"/>
        </w:rPr>
        <w:t xml:space="preserve"> </w:t>
      </w:r>
      <w:r>
        <w:t>discussion,</w:t>
      </w:r>
      <w:r>
        <w:rPr>
          <w:spacing w:val="1"/>
        </w:rPr>
        <w:t xml:space="preserve"> </w:t>
      </w:r>
      <w:r>
        <w:t>negotiation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viz.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calamities,</w:t>
      </w:r>
      <w:r>
        <w:rPr>
          <w:spacing w:val="1"/>
        </w:rPr>
        <w:t xml:space="preserve"> </w:t>
      </w:r>
      <w:r>
        <w:t>disruptions,</w:t>
      </w:r>
      <w:r>
        <w:rPr>
          <w:spacing w:val="-6"/>
        </w:rPr>
        <w:t xml:space="preserve"> </w:t>
      </w:r>
      <w:r>
        <w:t>etc.,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depend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timing</w:t>
      </w:r>
      <w:r>
        <w:rPr>
          <w:spacing w:val="-5"/>
        </w:rPr>
        <w:t xml:space="preserve"> </w:t>
      </w:r>
      <w:r>
        <w:t>when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became</w:t>
      </w:r>
      <w:r>
        <w:rPr>
          <w:spacing w:val="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event/information.</w:t>
      </w:r>
    </w:p>
    <w:p w:rsidR="0007589E" w:rsidRDefault="0007589E">
      <w:pPr>
        <w:pStyle w:val="BodyText"/>
        <w:jc w:val="left"/>
        <w:rPr>
          <w:sz w:val="36"/>
        </w:rPr>
      </w:pPr>
    </w:p>
    <w:p w:rsidR="0007589E" w:rsidRDefault="00877FAC">
      <w:pPr>
        <w:pStyle w:val="BodyText"/>
        <w:spacing w:line="360" w:lineRule="auto"/>
        <w:ind w:left="559" w:right="117"/>
      </w:pPr>
      <w:r>
        <w:t>In the former, the events/information can be said to have occurred upon receipt of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Board of</w:t>
      </w:r>
      <w:r>
        <w:rPr>
          <w:spacing w:val="-1"/>
        </w:rPr>
        <w:t xml:space="preserve"> </w:t>
      </w:r>
      <w:r>
        <w:t>Directors.</w:t>
      </w:r>
    </w:p>
    <w:p w:rsidR="0007589E" w:rsidRDefault="0007589E">
      <w:pPr>
        <w:pStyle w:val="BodyText"/>
        <w:spacing w:before="1"/>
        <w:jc w:val="left"/>
        <w:rPr>
          <w:sz w:val="36"/>
        </w:rPr>
      </w:pPr>
    </w:p>
    <w:p w:rsidR="0007589E" w:rsidRDefault="00877FAC">
      <w:pPr>
        <w:pStyle w:val="BodyText"/>
        <w:spacing w:line="360" w:lineRule="auto"/>
        <w:ind w:left="559" w:right="114"/>
      </w:pPr>
      <w:r>
        <w:t>However,</w:t>
      </w:r>
      <w:r>
        <w:rPr>
          <w:spacing w:val="-8"/>
        </w:rPr>
        <w:t xml:space="preserve"> </w:t>
      </w:r>
      <w:r>
        <w:t>considering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sensitivity</w:t>
      </w:r>
      <w:r>
        <w:rPr>
          <w:spacing w:val="-7"/>
        </w:rPr>
        <w:t xml:space="preserve"> </w:t>
      </w:r>
      <w:r>
        <w:t>involved,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events,</w:t>
      </w:r>
      <w:r>
        <w:rPr>
          <w:spacing w:val="-7"/>
        </w:rPr>
        <w:t xml:space="preserve"> </w:t>
      </w:r>
      <w:r>
        <w:t>e.g.</w:t>
      </w:r>
      <w:r>
        <w:rPr>
          <w:spacing w:val="-7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declaration of dividends etc., disclosure shall be made on receipt of approval of the</w:t>
      </w:r>
      <w:r>
        <w:rPr>
          <w:spacing w:val="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Directors, pending shareholders’</w:t>
      </w:r>
      <w:r>
        <w:rPr>
          <w:spacing w:val="-2"/>
        </w:rPr>
        <w:t xml:space="preserve"> </w:t>
      </w:r>
      <w:r>
        <w:t>appr</w:t>
      </w:r>
      <w:r>
        <w:t>oval.</w:t>
      </w:r>
    </w:p>
    <w:p w:rsidR="0007589E" w:rsidRDefault="0007589E">
      <w:pPr>
        <w:spacing w:line="360" w:lineRule="auto"/>
        <w:sectPr w:rsidR="0007589E">
          <w:pgSz w:w="11910" w:h="16840"/>
          <w:pgMar w:top="1780" w:right="1320" w:bottom="1260" w:left="1600" w:header="240" w:footer="1070" w:gutter="0"/>
          <w:cols w:space="720"/>
        </w:sectPr>
      </w:pPr>
    </w:p>
    <w:p w:rsidR="0007589E" w:rsidRDefault="0007589E">
      <w:pPr>
        <w:pStyle w:val="BodyText"/>
        <w:spacing w:before="11"/>
        <w:jc w:val="left"/>
        <w:rPr>
          <w:sz w:val="22"/>
        </w:rPr>
      </w:pPr>
    </w:p>
    <w:p w:rsidR="0007589E" w:rsidRDefault="00877FAC">
      <w:pPr>
        <w:pStyle w:val="BodyText"/>
        <w:spacing w:before="90" w:line="360" w:lineRule="auto"/>
        <w:ind w:left="560" w:right="119"/>
      </w:pPr>
      <w:r>
        <w:t>In the latter, the events/information can be said to have occurred when the Company</w:t>
      </w:r>
      <w:r>
        <w:rPr>
          <w:spacing w:val="1"/>
        </w:rPr>
        <w:t xml:space="preserve"> </w:t>
      </w:r>
      <w:r>
        <w:t>becomes</w:t>
      </w:r>
      <w:r>
        <w:rPr>
          <w:spacing w:val="-8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events/information,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soon</w:t>
      </w:r>
      <w:r>
        <w:rPr>
          <w:spacing w:val="-9"/>
        </w:rPr>
        <w:t xml:space="preserve"> </w:t>
      </w:r>
      <w:r>
        <w:t>as,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has,</w:t>
      </w:r>
      <w:r>
        <w:rPr>
          <w:spacing w:val="-58"/>
        </w:rPr>
        <w:t xml:space="preserve"> </w:t>
      </w:r>
      <w:r>
        <w:t>or ought to have reasonably come into possession of the information in the course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 duties.</w:t>
      </w:r>
    </w:p>
    <w:p w:rsidR="0007589E" w:rsidRDefault="0007589E">
      <w:pPr>
        <w:pStyle w:val="BodyText"/>
        <w:spacing w:before="10"/>
        <w:jc w:val="left"/>
        <w:rPr>
          <w:sz w:val="35"/>
        </w:rPr>
      </w:pPr>
    </w:p>
    <w:p w:rsidR="0007589E" w:rsidRDefault="00877FAC">
      <w:pPr>
        <w:pStyle w:val="BodyText"/>
        <w:spacing w:line="360" w:lineRule="auto"/>
        <w:ind w:left="560" w:right="118"/>
      </w:pPr>
      <w:r>
        <w:t>Here, the term ‘officer’ shall have the same meaning as defined under the Companies</w:t>
      </w:r>
      <w:r>
        <w:rPr>
          <w:spacing w:val="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2013 and shall also include</w:t>
      </w:r>
      <w:r>
        <w:rPr>
          <w:spacing w:val="-1"/>
        </w:rPr>
        <w:t xml:space="preserve"> </w:t>
      </w:r>
      <w:r>
        <w:t>promoter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listed</w:t>
      </w:r>
      <w:r>
        <w:t xml:space="preserve"> entity.</w:t>
      </w:r>
    </w:p>
    <w:p w:rsidR="0007589E" w:rsidRDefault="0007589E">
      <w:pPr>
        <w:pStyle w:val="BodyText"/>
        <w:spacing w:before="1"/>
        <w:jc w:val="left"/>
        <w:rPr>
          <w:sz w:val="36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  <w:spacing w:before="1"/>
      </w:pP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KMPs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Disclosure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136" w:line="360" w:lineRule="auto"/>
        <w:ind w:right="118"/>
        <w:rPr>
          <w:sz w:val="24"/>
        </w:rPr>
      </w:pPr>
      <w:r>
        <w:rPr>
          <w:sz w:val="24"/>
        </w:rPr>
        <w:t>Any event or information, including the information specified in Para A and Para</w:t>
      </w:r>
      <w:r>
        <w:rPr>
          <w:spacing w:val="1"/>
          <w:sz w:val="24"/>
        </w:rPr>
        <w:t xml:space="preserve"> </w:t>
      </w:r>
      <w:r>
        <w:rPr>
          <w:sz w:val="24"/>
        </w:rPr>
        <w:t>B of Part A of Schedule III of the SEBI Listing Regulations shall be forthwith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KMP(s)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occurrence,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8"/>
          <w:sz w:val="24"/>
        </w:rPr>
        <w:t xml:space="preserve"> </w:t>
      </w:r>
      <w:r>
        <w:rPr>
          <w:sz w:val="24"/>
        </w:rPr>
        <w:t>data/information, to facilitate a prompt and appropriate disclosure to the stock</w:t>
      </w:r>
      <w:r>
        <w:rPr>
          <w:spacing w:val="1"/>
          <w:sz w:val="24"/>
        </w:rPr>
        <w:t xml:space="preserve"> </w:t>
      </w:r>
      <w:r>
        <w:rPr>
          <w:sz w:val="24"/>
        </w:rPr>
        <w:t>exchanges.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before="2" w:line="360" w:lineRule="auto"/>
        <w:ind w:right="117"/>
        <w:rPr>
          <w:sz w:val="24"/>
        </w:rPr>
      </w:pPr>
      <w:r>
        <w:rPr>
          <w:sz w:val="24"/>
        </w:rPr>
        <w:t>The KMP(s) will then ascertain the materiality of such event(s) or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guidelines.</w:t>
      </w:r>
    </w:p>
    <w:p w:rsidR="0007589E" w:rsidRDefault="00877FAC">
      <w:pPr>
        <w:pStyle w:val="ListParagraph"/>
        <w:numPr>
          <w:ilvl w:val="1"/>
          <w:numId w:val="1"/>
        </w:numPr>
        <w:tabs>
          <w:tab w:val="left" w:pos="920"/>
        </w:tabs>
        <w:spacing w:line="360" w:lineRule="auto"/>
        <w:ind w:right="119"/>
        <w:rPr>
          <w:sz w:val="24"/>
        </w:rPr>
      </w:pPr>
      <w:r>
        <w:rPr>
          <w:sz w:val="24"/>
        </w:rPr>
        <w:t>On completion of the assessment, the KMP(s) shall, if required, make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disclosure(s)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stock</w:t>
      </w:r>
      <w:r>
        <w:rPr>
          <w:spacing w:val="2"/>
          <w:sz w:val="24"/>
        </w:rPr>
        <w:t xml:space="preserve"> </w:t>
      </w:r>
      <w:r>
        <w:rPr>
          <w:sz w:val="24"/>
        </w:rPr>
        <w:t>exchanges.</w:t>
      </w:r>
    </w:p>
    <w:p w:rsidR="0007589E" w:rsidRDefault="0007589E">
      <w:pPr>
        <w:pStyle w:val="BodyText"/>
        <w:spacing w:before="10"/>
        <w:jc w:val="left"/>
        <w:rPr>
          <w:sz w:val="35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</w:pPr>
      <w:r>
        <w:t>Policy</w:t>
      </w:r>
      <w:r>
        <w:rPr>
          <w:spacing w:val="-3"/>
        </w:rPr>
        <w:t xml:space="preserve"> </w:t>
      </w:r>
      <w:r>
        <w:t>Review</w:t>
      </w:r>
    </w:p>
    <w:p w:rsidR="0007589E" w:rsidRDefault="00877FAC">
      <w:pPr>
        <w:pStyle w:val="BodyText"/>
        <w:spacing w:before="140" w:line="360" w:lineRule="auto"/>
        <w:ind w:left="560" w:right="117"/>
      </w:pPr>
      <w:r>
        <w:t>The KMP(s) may review the Policy from time to time. Material changes to the Policy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amendment</w:t>
      </w:r>
      <w:r>
        <w:rPr>
          <w:spacing w:val="1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modification in the Listing Regulations, Act and/or applicable laws in this regard shall</w:t>
      </w:r>
      <w:r>
        <w:rPr>
          <w:spacing w:val="-57"/>
        </w:rPr>
        <w:t xml:space="preserve"> </w:t>
      </w:r>
      <w:r>
        <w:t>automatically</w:t>
      </w:r>
      <w:r>
        <w:rPr>
          <w:spacing w:val="-1"/>
        </w:rPr>
        <w:t xml:space="preserve"> </w:t>
      </w:r>
      <w:r>
        <w:t>apply to this Policy.</w:t>
      </w:r>
    </w:p>
    <w:p w:rsidR="0007589E" w:rsidRDefault="0007589E">
      <w:pPr>
        <w:pStyle w:val="BodyText"/>
        <w:spacing w:before="10"/>
        <w:jc w:val="left"/>
        <w:rPr>
          <w:sz w:val="35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</w:pPr>
      <w:r>
        <w:t>Effective</w:t>
      </w:r>
      <w:r>
        <w:rPr>
          <w:spacing w:val="-4"/>
        </w:rPr>
        <w:t xml:space="preserve"> </w:t>
      </w:r>
      <w:r>
        <w:t>Date</w:t>
      </w:r>
    </w:p>
    <w:p w:rsidR="0007589E" w:rsidRDefault="00877FAC">
      <w:pPr>
        <w:pStyle w:val="BodyText"/>
        <w:spacing w:before="139" w:line="360" w:lineRule="auto"/>
        <w:ind w:left="560" w:right="117"/>
      </w:pPr>
      <w:r>
        <w:t>The Policy has been effective December 1, 2015 and the amended Policy, shall be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from July 14, 2023.</w:t>
      </w:r>
    </w:p>
    <w:p w:rsidR="0007589E" w:rsidRDefault="0007589E">
      <w:pPr>
        <w:pStyle w:val="BodyText"/>
        <w:spacing w:before="10"/>
        <w:jc w:val="left"/>
        <w:rPr>
          <w:sz w:val="35"/>
        </w:rPr>
      </w:pPr>
    </w:p>
    <w:p w:rsidR="0007589E" w:rsidRDefault="00877FAC">
      <w:pPr>
        <w:pStyle w:val="Heading1"/>
        <w:numPr>
          <w:ilvl w:val="0"/>
          <w:numId w:val="1"/>
        </w:numPr>
        <w:tabs>
          <w:tab w:val="left" w:pos="560"/>
        </w:tabs>
        <w:spacing w:before="1"/>
      </w:pPr>
      <w:r>
        <w:t>Website</w:t>
      </w:r>
    </w:p>
    <w:p w:rsidR="0007589E" w:rsidRDefault="00877FAC" w:rsidP="00877FAC">
      <w:pPr>
        <w:pStyle w:val="BodyText"/>
        <w:spacing w:before="139" w:line="360" w:lineRule="auto"/>
        <w:ind w:left="560" w:right="118"/>
        <w:sectPr w:rsidR="0007589E">
          <w:pgSz w:w="11910" w:h="16840"/>
          <w:pgMar w:top="1780" w:right="1320" w:bottom="1260" w:left="1600" w:header="240" w:footer="1070" w:gutter="0"/>
          <w:cols w:space="720"/>
        </w:sectPr>
      </w:pP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SEBI</w:t>
      </w:r>
      <w:r>
        <w:rPr>
          <w:spacing w:val="-6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:rsidR="0007589E" w:rsidRDefault="0007589E" w:rsidP="00877FAC">
      <w:pPr>
        <w:pStyle w:val="BodyText"/>
        <w:spacing w:before="1" w:line="360" w:lineRule="auto"/>
        <w:ind w:right="5030"/>
        <w:jc w:val="left"/>
      </w:pPr>
    </w:p>
    <w:sectPr w:rsidR="0007589E">
      <w:pgSz w:w="11910" w:h="16840"/>
      <w:pgMar w:top="1780" w:right="1320" w:bottom="1260" w:left="1600" w:header="24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7FAC">
      <w:r>
        <w:separator/>
      </w:r>
    </w:p>
  </w:endnote>
  <w:endnote w:type="continuationSeparator" w:id="0">
    <w:p w:rsidR="00000000" w:rsidRDefault="0087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9E" w:rsidRDefault="00877FAC">
    <w:pPr>
      <w:pStyle w:val="BodyText"/>
      <w:spacing w:line="14" w:lineRule="auto"/>
      <w:jc w:val="left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11040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9839960</wp:posOffset>
              </wp:positionV>
              <wp:extent cx="5943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F6F43" id="Line 2" o:spid="_x0000_s1026" style="position:absolute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774.8pt" to="531.5pt,7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" strokecolor="#497dba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11552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9983470</wp:posOffset>
              </wp:positionV>
              <wp:extent cx="78105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89E" w:rsidRDefault="0007589E" w:rsidP="00877FAC">
                          <w:pPr>
                            <w:spacing w:before="14"/>
                            <w:rPr>
                              <w:rFonts w:ascii="Arial MT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85pt;margin-top:786.1pt;width:61.5pt;height:12.1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fyrQ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" filled="f" stroked="f">
              <v:textbox inset="0,0,0,0">
                <w:txbxContent>
                  <w:p w:rsidR="0007589E" w:rsidRDefault="0007589E" w:rsidP="00877FAC">
                    <w:pPr>
                      <w:spacing w:before="14"/>
                      <w:rPr>
                        <w:rFonts w:ascii="Arial M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7FAC">
      <w:r>
        <w:separator/>
      </w:r>
    </w:p>
  </w:footnote>
  <w:footnote w:type="continuationSeparator" w:id="0">
    <w:p w:rsidR="00000000" w:rsidRDefault="0087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9E" w:rsidRDefault="0007589E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5F"/>
    <w:multiLevelType w:val="hybridMultilevel"/>
    <w:tmpl w:val="0AF0FDC6"/>
    <w:lvl w:ilvl="0" w:tplc="1C3435CA">
      <w:start w:val="1"/>
      <w:numFmt w:val="decimal"/>
      <w:lvlText w:val="%1."/>
      <w:lvlJc w:val="left"/>
      <w:pPr>
        <w:ind w:left="560" w:hanging="4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54CB7BE">
      <w:start w:val="1"/>
      <w:numFmt w:val="lowerLetter"/>
      <w:lvlText w:val="%2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204CCA4">
      <w:start w:val="1"/>
      <w:numFmt w:val="lowerRoman"/>
      <w:lvlText w:val="%3."/>
      <w:lvlJc w:val="left"/>
      <w:pPr>
        <w:ind w:left="1258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EC058C2">
      <w:numFmt w:val="bullet"/>
      <w:lvlText w:val="•"/>
      <w:lvlJc w:val="left"/>
      <w:pPr>
        <w:ind w:left="1260" w:hanging="269"/>
      </w:pPr>
      <w:rPr>
        <w:rFonts w:hint="default"/>
        <w:lang w:val="en-US" w:eastAsia="en-US" w:bidi="ar-SA"/>
      </w:rPr>
    </w:lvl>
    <w:lvl w:ilvl="4" w:tplc="5D98161A">
      <w:numFmt w:val="bullet"/>
      <w:lvlText w:val="•"/>
      <w:lvlJc w:val="left"/>
      <w:pPr>
        <w:ind w:left="2363" w:hanging="269"/>
      </w:pPr>
      <w:rPr>
        <w:rFonts w:hint="default"/>
        <w:lang w:val="en-US" w:eastAsia="en-US" w:bidi="ar-SA"/>
      </w:rPr>
    </w:lvl>
    <w:lvl w:ilvl="5" w:tplc="6412987A">
      <w:numFmt w:val="bullet"/>
      <w:lvlText w:val="•"/>
      <w:lvlJc w:val="left"/>
      <w:pPr>
        <w:ind w:left="3467" w:hanging="269"/>
      </w:pPr>
      <w:rPr>
        <w:rFonts w:hint="default"/>
        <w:lang w:val="en-US" w:eastAsia="en-US" w:bidi="ar-SA"/>
      </w:rPr>
    </w:lvl>
    <w:lvl w:ilvl="6" w:tplc="2B9C715A">
      <w:numFmt w:val="bullet"/>
      <w:lvlText w:val="•"/>
      <w:lvlJc w:val="left"/>
      <w:pPr>
        <w:ind w:left="4571" w:hanging="269"/>
      </w:pPr>
      <w:rPr>
        <w:rFonts w:hint="default"/>
        <w:lang w:val="en-US" w:eastAsia="en-US" w:bidi="ar-SA"/>
      </w:rPr>
    </w:lvl>
    <w:lvl w:ilvl="7" w:tplc="26D05480">
      <w:numFmt w:val="bullet"/>
      <w:lvlText w:val="•"/>
      <w:lvlJc w:val="left"/>
      <w:pPr>
        <w:ind w:left="5675" w:hanging="269"/>
      </w:pPr>
      <w:rPr>
        <w:rFonts w:hint="default"/>
        <w:lang w:val="en-US" w:eastAsia="en-US" w:bidi="ar-SA"/>
      </w:rPr>
    </w:lvl>
    <w:lvl w:ilvl="8" w:tplc="138EADD8">
      <w:numFmt w:val="bullet"/>
      <w:lvlText w:val="•"/>
      <w:lvlJc w:val="left"/>
      <w:pPr>
        <w:ind w:left="6778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9E"/>
    <w:rsid w:val="0007589E"/>
    <w:rsid w:val="008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095A427-E6BE-457D-96B9-185F4145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60" w:hanging="44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109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F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7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F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TCS' Policy on Determination of Materiality for Disclosures</vt:lpstr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TCS' Policy on Determination of Materiality for Disclosures</dc:title>
  <dc:creator>Admin</dc:creator>
  <cp:lastModifiedBy>Admin</cp:lastModifiedBy>
  <cp:revision>2</cp:revision>
  <dcterms:created xsi:type="dcterms:W3CDTF">2024-01-05T10:55:00Z</dcterms:created>
  <dcterms:modified xsi:type="dcterms:W3CDTF">2024-01-05T10:55:00Z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2024-01-05T00:00:00Z</vt:filetime>
  </property>
</Properties>
</file>